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610"/>
          <w:tab w:val="left" w:pos="720"/>
          <w:tab w:val="left" w:pos="4180"/>
          <w:tab w:val="left" w:pos="6480"/>
          <w:tab w:val="left" w:pos="7200"/>
          <w:tab w:val="left" w:pos="7920"/>
          <w:tab w:val="left" w:pos="8640"/>
          <w:tab w:val="left" w:pos="9360"/>
          <w:tab w:val="left" w:pos="1008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1970-2-2</w:t>
        <w:tab/>
      </w:r>
      <w:r w:rsidDel="00000000" w:rsidR="00000000" w:rsidRPr="00000000">
        <w:rPr>
          <w:b w:val="1"/>
          <w:sz w:val="28"/>
          <w:szCs w:val="28"/>
          <w:vertAlign w:val="baseline"/>
          <w:rtl w:val="0"/>
        </w:rPr>
        <w:t xml:space="preserve">CHRONOLOGY HARMONIOUS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4180"/>
          <w:tab w:val="left" w:pos="82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study was prepared by Jerry Leslie. It is to show the harmony and interdependence of the different lines of evidence.  Bro. Leslie sent sample pages from the complete print-out (which will be supplied to anyone wishing it).  The solution is on page 59 of print-out which is enclosed.  Constructive criticism is welcomed by Bro. Leslie.)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540"/>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As I have been reading in Vol. II,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Time Is At Hand,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 noticed Bro. Russell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statements in </w:t>
      </w:r>
      <w:r w:rsidDel="00000000" w:rsidR="00000000" w:rsidRPr="00000000">
        <w:rPr>
          <w:sz w:val="28"/>
          <w:szCs w:val="28"/>
          <w:rtl w:val="0"/>
        </w:rPr>
        <w:t xml:space="preserve">two</w:t>
      </w:r>
      <w:r w:rsidDel="00000000" w:rsidR="00000000" w:rsidRPr="00000000">
        <w:rPr>
          <w:rFonts w:ascii="Times New Roman" w:cs="Times New Roman" w:eastAsia="Times New Roman" w:hAnsi="Times New Roman"/>
          <w:b w:val="0"/>
          <w:sz w:val="28"/>
          <w:szCs w:val="28"/>
          <w:vertAlign w:val="baseline"/>
          <w:rtl w:val="0"/>
        </w:rPr>
        <w:t xml:space="preserve"> paragraphs which stand out quite remarkably.  I quote them below, with underlined portions being the basis of a subsequent study.  These are found in his concluding thoughts on the Jubilee chapter and the Parallel chapter respectively:  Pg. 196,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If not of divine arrangement and intended for our instruction, how and why come the </w:t>
      </w:r>
      <w:r w:rsidDel="00000000" w:rsidR="00000000" w:rsidRPr="00000000">
        <w:rPr>
          <w:rFonts w:ascii="Times New Roman" w:cs="Times New Roman" w:eastAsia="Times New Roman" w:hAnsi="Times New Roman"/>
          <w:b w:val="0"/>
          <w:sz w:val="28"/>
          <w:szCs w:val="28"/>
          <w:u w:val="single"/>
          <w:vertAlign w:val="baseline"/>
          <w:rtl w:val="0"/>
        </w:rPr>
        <w:t xml:space="preserve">double proofs, matchin</w:t>
      </w:r>
      <w:r w:rsidDel="00000000" w:rsidR="00000000" w:rsidRPr="00000000">
        <w:rPr>
          <w:sz w:val="28"/>
          <w:szCs w:val="28"/>
          <w:u w:val="single"/>
          <w:rtl w:val="0"/>
        </w:rPr>
        <w:t xml:space="preserve">g a</w:t>
      </w:r>
      <w:r w:rsidDel="00000000" w:rsidR="00000000" w:rsidRPr="00000000">
        <w:rPr>
          <w:rFonts w:ascii="Times New Roman" w:cs="Times New Roman" w:eastAsia="Times New Roman" w:hAnsi="Times New Roman"/>
          <w:b w:val="0"/>
          <w:sz w:val="28"/>
          <w:szCs w:val="28"/>
          <w:u w:val="single"/>
          <w:vertAlign w:val="baseline"/>
          <w:rtl w:val="0"/>
        </w:rPr>
        <w:t xml:space="preserve">n</w:t>
      </w:r>
      <w:r w:rsidDel="00000000" w:rsidR="00000000" w:rsidRPr="00000000">
        <w:rPr>
          <w:sz w:val="28"/>
          <w:szCs w:val="28"/>
          <w:u w:val="single"/>
          <w:rtl w:val="0"/>
        </w:rPr>
        <w:t xml:space="preserve">d c</w:t>
      </w:r>
      <w:r w:rsidDel="00000000" w:rsidR="00000000" w:rsidRPr="00000000">
        <w:rPr>
          <w:rFonts w:ascii="Times New Roman" w:cs="Times New Roman" w:eastAsia="Times New Roman" w:hAnsi="Times New Roman"/>
          <w:b w:val="0"/>
          <w:sz w:val="28"/>
          <w:szCs w:val="28"/>
          <w:u w:val="single"/>
          <w:vertAlign w:val="baseline"/>
          <w:rtl w:val="0"/>
        </w:rPr>
        <w:t xml:space="preserve">orroborating each other so perfectly</w:t>
      </w:r>
      <w:r w:rsidDel="00000000" w:rsidR="00000000" w:rsidRPr="00000000">
        <w:rPr>
          <w:rFonts w:ascii="Times New Roman" w:cs="Times New Roman" w:eastAsia="Times New Roman" w:hAnsi="Times New Roman"/>
          <w:b w:val="0"/>
          <w:sz w:val="28"/>
          <w:szCs w:val="28"/>
          <w:vertAlign w:val="baseline"/>
          <w:rtl w:val="0"/>
        </w:rPr>
        <w:t xml:space="preserve">?  To convince yourself of their divine arrangement, notice that in no other place and way can the 70 yrs. of Sabbaths in desolation be made to harmonize with the (50 x 50) cycle of the Great Jubilee.  </w:t>
      </w:r>
      <w:r w:rsidDel="00000000" w:rsidR="00000000" w:rsidRPr="00000000">
        <w:rPr>
          <w:rFonts w:ascii="Times New Roman" w:cs="Times New Roman" w:eastAsia="Times New Roman" w:hAnsi="Times New Roman"/>
          <w:b w:val="0"/>
          <w:sz w:val="28"/>
          <w:szCs w:val="28"/>
          <w:u w:val="single"/>
          <w:vertAlign w:val="baseline"/>
          <w:rtl w:val="0"/>
        </w:rPr>
        <w:t xml:space="preserve">Try it</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Prove it</w:t>
      </w:r>
      <w:r w:rsidDel="00000000" w:rsidR="00000000" w:rsidRPr="00000000">
        <w:rPr>
          <w:rFonts w:ascii="Times New Roman" w:cs="Times New Roman" w:eastAsia="Times New Roman" w:hAnsi="Times New Roman"/>
          <w:b w:val="0"/>
          <w:sz w:val="28"/>
          <w:szCs w:val="28"/>
          <w:vertAlign w:val="baseline"/>
          <w:rtl w:val="0"/>
        </w:rPr>
        <w:t xml:space="preserve">. Suppose either a mistake, or a change of </w:t>
      </w:r>
      <w:r w:rsidDel="00000000" w:rsidR="00000000" w:rsidRPr="00000000">
        <w:rPr>
          <w:rFonts w:ascii="Times New Roman" w:cs="Times New Roman" w:eastAsia="Times New Roman" w:hAnsi="Times New Roman"/>
          <w:b w:val="0"/>
          <w:i w:val="1"/>
          <w:sz w:val="28"/>
          <w:szCs w:val="28"/>
          <w:vertAlign w:val="baseline"/>
          <w:rtl w:val="0"/>
        </w:rPr>
        <w:t xml:space="preserve">one</w:t>
      </w:r>
      <w:r w:rsidDel="00000000" w:rsidR="00000000" w:rsidRPr="00000000">
        <w:rPr>
          <w:rFonts w:ascii="Times New Roman" w:cs="Times New Roman" w:eastAsia="Times New Roman" w:hAnsi="Times New Roman"/>
          <w:b w:val="0"/>
          <w:sz w:val="28"/>
          <w:szCs w:val="28"/>
          <w:vertAlign w:val="baseline"/>
          <w:rtl w:val="0"/>
        </w:rPr>
        <w:t xml:space="preserve"> of the nineteen Jubilees kept by Israel:  Suppose that eighteen (one </w:t>
      </w:r>
      <w:r w:rsidDel="00000000" w:rsidR="00000000" w:rsidRPr="00000000">
        <w:rPr>
          <w:rFonts w:ascii="Times New Roman" w:cs="Times New Roman" w:eastAsia="Times New Roman" w:hAnsi="Times New Roman"/>
          <w:b w:val="0"/>
          <w:i w:val="1"/>
          <w:sz w:val="28"/>
          <w:szCs w:val="28"/>
          <w:vertAlign w:val="baseline"/>
          <w:rtl w:val="0"/>
        </w:rPr>
        <w:t xml:space="preserve">less</w:t>
      </w:r>
      <w:r w:rsidDel="00000000" w:rsidR="00000000" w:rsidRPr="00000000">
        <w:rPr>
          <w:rFonts w:ascii="Times New Roman" w:cs="Times New Roman" w:eastAsia="Times New Roman" w:hAnsi="Times New Roman"/>
          <w:b w:val="0"/>
          <w:sz w:val="28"/>
          <w:szCs w:val="28"/>
          <w:vertAlign w:val="baseline"/>
          <w:rtl w:val="0"/>
        </w:rPr>
        <w:t xml:space="preserve">) or twent</w:t>
      </w:r>
      <w:r w:rsidDel="00000000" w:rsidR="00000000" w:rsidRPr="00000000">
        <w:rPr>
          <w:sz w:val="28"/>
          <w:szCs w:val="28"/>
          <w:rtl w:val="0"/>
        </w:rPr>
        <w:t xml:space="preserve">y</w:t>
      </w:r>
      <w:r w:rsidDel="00000000" w:rsidR="00000000" w:rsidRPr="00000000">
        <w:rPr>
          <w:rFonts w:ascii="Times New Roman" w:cs="Times New Roman" w:eastAsia="Times New Roman" w:hAnsi="Times New Roman"/>
          <w:b w:val="0"/>
          <w:sz w:val="28"/>
          <w:szCs w:val="28"/>
          <w:vertAlign w:val="baseline"/>
          <w:rtl w:val="0"/>
        </w:rPr>
        <w:t xml:space="preserve"> (one </w:t>
      </w:r>
      <w:r w:rsidDel="00000000" w:rsidR="00000000" w:rsidRPr="00000000">
        <w:rPr>
          <w:rFonts w:ascii="Times New Roman" w:cs="Times New Roman" w:eastAsia="Times New Roman" w:hAnsi="Times New Roman"/>
          <w:b w:val="0"/>
          <w:i w:val="1"/>
          <w:sz w:val="28"/>
          <w:szCs w:val="28"/>
          <w:vertAlign w:val="baseline"/>
          <w:rtl w:val="0"/>
        </w:rPr>
        <w:t xml:space="preserve">more</w:t>
      </w:r>
      <w:r w:rsidDel="00000000" w:rsidR="00000000" w:rsidRPr="00000000">
        <w:rPr>
          <w:rFonts w:ascii="Times New Roman" w:cs="Times New Roman" w:eastAsia="Times New Roman" w:hAnsi="Times New Roman"/>
          <w:b w:val="0"/>
          <w:sz w:val="28"/>
          <w:szCs w:val="28"/>
          <w:vertAlign w:val="baseline"/>
          <w:rtl w:val="0"/>
        </w:rPr>
        <w:t xml:space="preserve">) had elapsed before the </w:t>
      </w:r>
      <w:r w:rsidDel="00000000" w:rsidR="00000000" w:rsidRPr="00000000">
        <w:rPr>
          <w:rFonts w:ascii="Times New Roman" w:cs="Times New Roman" w:eastAsia="Times New Roman" w:hAnsi="Times New Roman"/>
          <w:b w:val="0"/>
          <w:i w:val="1"/>
          <w:sz w:val="28"/>
          <w:szCs w:val="28"/>
          <w:vertAlign w:val="baseline"/>
          <w:rtl w:val="0"/>
        </w:rPr>
        <w:t xml:space="preserve">seventy years desolation</w:t>
      </w:r>
      <w:r w:rsidDel="00000000" w:rsidR="00000000" w:rsidRPr="00000000">
        <w:rPr>
          <w:rFonts w:ascii="Times New Roman" w:cs="Times New Roman" w:eastAsia="Times New Roman" w:hAnsi="Times New Roman"/>
          <w:b w:val="0"/>
          <w:sz w:val="28"/>
          <w:szCs w:val="28"/>
          <w:vertAlign w:val="baseline"/>
          <w:rtl w:val="0"/>
        </w:rPr>
        <w:t xml:space="preserve"> began.  </w:t>
      </w:r>
      <w:r w:rsidDel="00000000" w:rsidR="00000000" w:rsidRPr="00000000">
        <w:rPr>
          <w:rFonts w:ascii="Times New Roman" w:cs="Times New Roman" w:eastAsia="Times New Roman" w:hAnsi="Times New Roman"/>
          <w:b w:val="0"/>
          <w:sz w:val="28"/>
          <w:szCs w:val="28"/>
          <w:u w:val="single"/>
          <w:vertAlign w:val="baseline"/>
          <w:rtl w:val="0"/>
        </w:rPr>
        <w:t xml:space="preserve">Calculate, and you will see that these </w:t>
      </w:r>
      <w:r w:rsidDel="00000000" w:rsidR="00000000" w:rsidRPr="00000000">
        <w:rPr>
          <w:rFonts w:ascii="Times New Roman" w:cs="Times New Roman" w:eastAsia="Times New Roman" w:hAnsi="Times New Roman"/>
          <w:b w:val="0"/>
          <w:i w:val="1"/>
          <w:sz w:val="28"/>
          <w:szCs w:val="28"/>
          <w:u w:val="single"/>
          <w:vertAlign w:val="baseline"/>
          <w:rtl w:val="0"/>
        </w:rPr>
        <w:t xml:space="preserve">two lines</w:t>
      </w:r>
      <w:r w:rsidDel="00000000" w:rsidR="00000000" w:rsidRPr="00000000">
        <w:rPr>
          <w:rFonts w:ascii="Times New Roman" w:cs="Times New Roman" w:eastAsia="Times New Roman" w:hAnsi="Times New Roman"/>
          <w:b w:val="0"/>
          <w:sz w:val="28"/>
          <w:szCs w:val="28"/>
          <w:u w:val="single"/>
          <w:vertAlign w:val="baseline"/>
          <w:rtl w:val="0"/>
        </w:rPr>
        <w:t xml:space="preserve"> of evidence</w:t>
      </w:r>
      <w:r w:rsidDel="00000000" w:rsidR="00000000" w:rsidRPr="00000000">
        <w:rPr>
          <w:rFonts w:ascii="Times New Roman" w:cs="Times New Roman" w:eastAsia="Times New Roman" w:hAnsi="Times New Roman"/>
          <w:b w:val="0"/>
          <w:sz w:val="28"/>
          <w:szCs w:val="28"/>
          <w:vertAlign w:val="baseline"/>
          <w:rtl w:val="0"/>
        </w:rPr>
        <w:t xml:space="preserve">, which so perfectly unite in the testimony that 1875 (beginning Oct., A.D. l874) is the date of the beginning of the Times of Restitution, and the date </w:t>
      </w:r>
      <w:r w:rsidDel="00000000" w:rsidR="00000000" w:rsidRPr="00000000">
        <w:rPr>
          <w:sz w:val="28"/>
          <w:szCs w:val="28"/>
          <w:rtl w:val="0"/>
        </w:rPr>
        <w:t xml:space="preserve">therefore</w:t>
      </w:r>
      <w:r w:rsidDel="00000000" w:rsidR="00000000" w:rsidRPr="00000000">
        <w:rPr>
          <w:rFonts w:ascii="Times New Roman" w:cs="Times New Roman" w:eastAsia="Times New Roman" w:hAnsi="Times New Roman"/>
          <w:b w:val="0"/>
          <w:sz w:val="28"/>
          <w:szCs w:val="28"/>
          <w:vertAlign w:val="baseline"/>
          <w:rtl w:val="0"/>
        </w:rPr>
        <w:t xml:space="preserve">, from which we may know that the heavens no longer retain our Lord, the great Restorer, </w:t>
      </w:r>
      <w:r w:rsidDel="00000000" w:rsidR="00000000" w:rsidRPr="00000000">
        <w:rPr>
          <w:rFonts w:ascii="Times New Roman" w:cs="Times New Roman" w:eastAsia="Times New Roman" w:hAnsi="Times New Roman"/>
          <w:b w:val="0"/>
          <w:sz w:val="28"/>
          <w:szCs w:val="28"/>
          <w:u w:val="single"/>
          <w:vertAlign w:val="baseline"/>
          <w:rtl w:val="0"/>
        </w:rPr>
        <w:t xml:space="preserve">cannot be united elsewhere</w:t>
      </w:r>
      <w:r w:rsidDel="00000000" w:rsidR="00000000" w:rsidRPr="00000000">
        <w:rPr>
          <w:sz w:val="28"/>
          <w:szCs w:val="28"/>
          <w:u w:val="single"/>
          <w:vertAlign w:val="subscript"/>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without doing violence to themselves to the chronology</w:t>
      </w:r>
      <w:r w:rsidDel="00000000" w:rsidR="00000000" w:rsidRPr="00000000">
        <w:rPr>
          <w:sz w:val="28"/>
          <w:szCs w:val="28"/>
          <w:u w:val="single"/>
          <w:rtl w:val="0"/>
        </w:rPr>
        <w:t xml:space="preserve"> a</w:t>
      </w:r>
      <w:r w:rsidDel="00000000" w:rsidR="00000000" w:rsidRPr="00000000">
        <w:rPr>
          <w:rFonts w:ascii="Times New Roman" w:cs="Times New Roman" w:eastAsia="Times New Roman" w:hAnsi="Times New Roman"/>
          <w:b w:val="0"/>
          <w:sz w:val="28"/>
          <w:szCs w:val="28"/>
          <w:u w:val="single"/>
          <w:vertAlign w:val="baseline"/>
          <w:rtl w:val="0"/>
        </w:rPr>
        <w:t xml:space="preserve">nd to other prophecies yet to be examined</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540"/>
          <w:tab w:val="left" w:pos="720"/>
          <w:tab w:val="left" w:pos="19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sz w:val="28"/>
          <w:szCs w:val="28"/>
        </w:rPr>
      </w:pPr>
      <w:r w:rsidDel="00000000" w:rsidR="00000000" w:rsidRPr="00000000">
        <w:rPr>
          <w:rFonts w:ascii="Times New Roman" w:cs="Times New Roman" w:eastAsia="Times New Roman" w:hAnsi="Times New Roman"/>
          <w:b w:val="0"/>
          <w:sz w:val="28"/>
          <w:szCs w:val="28"/>
          <w:vertAlign w:val="baseline"/>
          <w:rtl w:val="0"/>
        </w:rPr>
        <w:t xml:space="preserve">Pg. 241-243: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u w:val="single"/>
          <w:vertAlign w:val="baseline"/>
          <w:rtl w:val="0"/>
        </w:rPr>
        <w:t xml:space="preserve">The full force of this parallelism is not obtained unless it is noticed that the Jubilee cycles and the Gentile Times mark the periods which correspond so exactly with this in the Jewish Parallels</w:t>
      </w:r>
      <w:r w:rsidDel="00000000" w:rsidR="00000000" w:rsidRPr="00000000">
        <w:rPr>
          <w:rFonts w:ascii="Times New Roman" w:cs="Times New Roman" w:eastAsia="Times New Roman" w:hAnsi="Times New Roman"/>
          <w:b w:val="0"/>
          <w:sz w:val="28"/>
          <w:szCs w:val="28"/>
          <w:vertAlign w:val="baseline"/>
          <w:rtl w:val="0"/>
        </w:rPr>
        <w:t xml:space="preserve">.  It is not an imagination that the Jewish and Christian ages are type and antitype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Apostles and the prophets testify to their correspondency. Nor do we rely merely on the parallels in proof of the harvest work of the Christian dispensation now in progress:  this harvest, as already shown, is otherwise marked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both its beginning and its close.  The Jubilee cycles prove that our Lord Jesus was due to be present and begin the restitution work in the fall of l874, A.D.  And the parallelism above referred to show. that date (l874) to correspond exactly with the anointing of Jesus as the Messiah, at the beginning of the Jewish ‘harvest,’ at the first advent.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Gentile Times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prove the present governments must all be overturned about the close of A.D. 1915; and the parallelism above shows that this period corresponds exactly with the year A.D. 70, which witnessed the completion of the downfall of the Jewish polity.  A reasonable question, then, in view of all this is, </w:t>
      </w:r>
      <w:r w:rsidDel="00000000" w:rsidR="00000000" w:rsidRPr="00000000">
        <w:rPr>
          <w:rFonts w:ascii="Times New Roman" w:cs="Times New Roman" w:eastAsia="Times New Roman" w:hAnsi="Times New Roman"/>
          <w:b w:val="0"/>
          <w:sz w:val="28"/>
          <w:szCs w:val="28"/>
          <w:u w:val="single"/>
          <w:vertAlign w:val="baseline"/>
          <w:rtl w:val="0"/>
        </w:rPr>
        <w:t xml:space="preserve">Are these time-correspondencies mere accidents</w:t>
      </w:r>
      <w:r w:rsidDel="00000000" w:rsidR="00000000" w:rsidRPr="00000000">
        <w:rPr>
          <w:sz w:val="28"/>
          <w:szCs w:val="28"/>
          <w:u w:val="single"/>
          <w:vertAlign w:val="subscript"/>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or are they of the same divine ordering</w:t>
      </w:r>
      <w:r w:rsidDel="00000000" w:rsidR="00000000" w:rsidRPr="00000000">
        <w:rPr>
          <w:rFonts w:ascii="Times New Roman" w:cs="Times New Roman" w:eastAsia="Times New Roman" w:hAnsi="Times New Roman"/>
          <w:b w:val="0"/>
          <w:sz w:val="28"/>
          <w:szCs w:val="28"/>
          <w:vertAlign w:val="baseline"/>
          <w:rtl w:val="0"/>
        </w:rPr>
        <w:t xml:space="preserve"> which we have seen arranged the other affairs of the fleshly house as shadows of the realities of this dispensation?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 they are not accidental: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For be it distinctly noticed that if the chronology, or any of these time-periods</w:t>
      </w:r>
      <w:r w:rsidDel="00000000" w:rsidR="00000000" w:rsidRPr="00000000">
        <w:rPr>
          <w:sz w:val="28"/>
          <w:szCs w:val="28"/>
          <w:u w:val="single"/>
          <w:vertAlign w:val="subscript"/>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be changed but one year, the beauty and force of this parallelism are destroyed</w:t>
      </w:r>
      <w:r w:rsidDel="00000000" w:rsidR="00000000" w:rsidRPr="00000000">
        <w:rPr>
          <w:rFonts w:ascii="Times New Roman" w:cs="Times New Roman" w:eastAsia="Times New Roman" w:hAnsi="Times New Roman"/>
          <w:b w:val="0"/>
          <w:sz w:val="28"/>
          <w:szCs w:val="28"/>
          <w:vertAlign w:val="baseline"/>
          <w:rtl w:val="0"/>
        </w:rPr>
        <w:t xml:space="preserve">.  For instance, if the chronology be altered but </w:t>
      </w:r>
      <w:r w:rsidDel="00000000" w:rsidR="00000000" w:rsidRPr="00000000">
        <w:rPr>
          <w:sz w:val="28"/>
          <w:szCs w:val="28"/>
          <w:rtl w:val="0"/>
        </w:rPr>
        <w:t xml:space="preserve">one</w:t>
      </w:r>
      <w:r w:rsidDel="00000000" w:rsidR="00000000" w:rsidRPr="00000000">
        <w:rPr>
          <w:rFonts w:ascii="Times New Roman" w:cs="Times New Roman" w:eastAsia="Times New Roman" w:hAnsi="Times New Roman"/>
          <w:b w:val="0"/>
          <w:sz w:val="28"/>
          <w:szCs w:val="28"/>
          <w:vertAlign w:val="baseline"/>
          <w:rtl w:val="0"/>
        </w:rPr>
        <w:t xml:space="preserve"> year, more or less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if we add one year, say to the period of the Kings or the Judges, or if we make it </w:t>
      </w:r>
      <w:r w:rsidDel="00000000" w:rsidR="00000000" w:rsidRPr="00000000">
        <w:rPr>
          <w:sz w:val="28"/>
          <w:szCs w:val="28"/>
          <w:rtl w:val="0"/>
        </w:rPr>
        <w:t xml:space="preserve">one</w:t>
      </w:r>
      <w:r w:rsidDel="00000000" w:rsidR="00000000" w:rsidRPr="00000000">
        <w:rPr>
          <w:rFonts w:ascii="Times New Roman" w:cs="Times New Roman" w:eastAsia="Times New Roman" w:hAnsi="Times New Roman"/>
          <w:b w:val="0"/>
          <w:sz w:val="28"/>
          <w:szCs w:val="28"/>
          <w:vertAlign w:val="baseline"/>
          <w:rtl w:val="0"/>
        </w:rPr>
        <w:t xml:space="preserve"> year less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would spoil the parallelism.  If we should add </w:t>
      </w:r>
      <w:r w:rsidDel="00000000" w:rsidR="00000000" w:rsidRPr="00000000">
        <w:rPr>
          <w:sz w:val="28"/>
          <w:szCs w:val="28"/>
          <w:rtl w:val="0"/>
        </w:rPr>
        <w:t xml:space="preserve">one</w:t>
      </w:r>
      <w:r w:rsidDel="00000000" w:rsidR="00000000" w:rsidRPr="00000000">
        <w:rPr>
          <w:rFonts w:ascii="Times New Roman" w:cs="Times New Roman" w:eastAsia="Times New Roman" w:hAnsi="Times New Roman"/>
          <w:b w:val="0"/>
          <w:sz w:val="28"/>
          <w:szCs w:val="28"/>
          <w:vertAlign w:val="baseline"/>
          <w:rtl w:val="0"/>
        </w:rPr>
        <w:t xml:space="preserve"> year it would make the first of Israel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periods l846 years long, and the double or other half of it would thus be thrown </w:t>
      </w:r>
      <w:r w:rsidDel="00000000" w:rsidR="00000000" w:rsidRPr="00000000">
        <w:rPr>
          <w:rFonts w:ascii="Times New Roman" w:cs="Times New Roman" w:eastAsia="Times New Roman" w:hAnsi="Times New Roman"/>
          <w:b w:val="0"/>
          <w:i w:val="1"/>
          <w:sz w:val="28"/>
          <w:szCs w:val="28"/>
          <w:vertAlign w:val="baseline"/>
          <w:rtl w:val="0"/>
        </w:rPr>
        <w:t xml:space="preserve">one year later</w:t>
      </w:r>
      <w:r w:rsidDel="00000000" w:rsidR="00000000" w:rsidRPr="00000000">
        <w:rPr>
          <w:rFonts w:ascii="Times New Roman" w:cs="Times New Roman" w:eastAsia="Times New Roman" w:hAnsi="Times New Roman"/>
          <w:b w:val="0"/>
          <w:sz w:val="28"/>
          <w:szCs w:val="28"/>
          <w:vertAlign w:val="baseline"/>
          <w:rtl w:val="0"/>
        </w:rPr>
        <w:t xml:space="preserve">, while, on the contrary, by such a change of the Chronology the Jubilee cycles would be thrown one year earlier, i.e., A.D. 1873; and it would make the 6,000 years end in A.D. 1871, while the Gentile Times would not be affected by it at all. All can see that the harmony of parallelism would thus be utterly destroyed.  Or, if one year should be deducted from the chronological reckoning the confusion would be just as great, the changes to the several periods being in an opposite direction.  </w:t>
      </w:r>
      <w:r w:rsidDel="00000000" w:rsidR="00000000" w:rsidRPr="00000000">
        <w:rPr>
          <w:rFonts w:ascii="Times New Roman" w:cs="Times New Roman" w:eastAsia="Times New Roman" w:hAnsi="Times New Roman"/>
          <w:b w:val="0"/>
          <w:sz w:val="28"/>
          <w:szCs w:val="28"/>
          <w:u w:val="single"/>
          <w:vertAlign w:val="baseline"/>
          <w:rtl w:val="0"/>
        </w:rPr>
        <w:t xml:space="preserve">Thus these various time-prophecies corroborate each othe</w:t>
      </w:r>
      <w:r w:rsidDel="00000000" w:rsidR="00000000" w:rsidRPr="00000000">
        <w:rPr>
          <w:sz w:val="28"/>
          <w:szCs w:val="28"/>
          <w:u w:val="single"/>
          <w:rtl w:val="0"/>
        </w:rPr>
        <w:t xml:space="preserve">r w</w:t>
      </w:r>
      <w:r w:rsidDel="00000000" w:rsidR="00000000" w:rsidRPr="00000000">
        <w:rPr>
          <w:rFonts w:ascii="Times New Roman" w:cs="Times New Roman" w:eastAsia="Times New Roman" w:hAnsi="Times New Roman"/>
          <w:b w:val="0"/>
          <w:sz w:val="28"/>
          <w:szCs w:val="28"/>
          <w:u w:val="single"/>
          <w:vertAlign w:val="baseline"/>
          <w:rtl w:val="0"/>
        </w:rPr>
        <w:t xml:space="preserve">hile the parallelism of the two dispensations clinches their testimony</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Proposition to demonstrate:  (1) That the dates 1874, 1878, 1914 parallel 29, 33, 70 A.D.</w:t>
      </w:r>
      <w:r w:rsidDel="00000000" w:rsidR="00000000" w:rsidRPr="00000000">
        <w:rPr>
          <w:sz w:val="28"/>
          <w:szCs w:val="28"/>
          <w:rtl w:val="0"/>
        </w:rPr>
        <w:br w:type="textWrapping"/>
      </w:r>
      <w:r w:rsidDel="00000000" w:rsidR="00000000" w:rsidRPr="00000000">
        <w:rPr>
          <w:rFonts w:ascii="Times New Roman" w:cs="Times New Roman" w:eastAsia="Times New Roman" w:hAnsi="Times New Roman"/>
          <w:b w:val="0"/>
          <w:sz w:val="28"/>
          <w:szCs w:val="28"/>
          <w:vertAlign w:val="baseline"/>
          <w:rtl w:val="0"/>
        </w:rPr>
        <w:t xml:space="preserve">(2) That no other parallel could occur in history for these first advent dates.</w:t>
      </w:r>
      <w:r w:rsidDel="00000000" w:rsidR="00000000" w:rsidRPr="00000000">
        <w:rPr>
          <w:sz w:val="28"/>
          <w:szCs w:val="28"/>
          <w:rtl w:val="0"/>
        </w:rPr>
        <w:br w:type="textWrapping"/>
      </w:r>
      <w:r w:rsidDel="00000000" w:rsidR="00000000" w:rsidRPr="00000000">
        <w:rPr>
          <w:rFonts w:ascii="Times New Roman" w:cs="Times New Roman" w:eastAsia="Times New Roman" w:hAnsi="Times New Roman"/>
          <w:b w:val="0"/>
          <w:sz w:val="28"/>
          <w:szCs w:val="28"/>
          <w:vertAlign w:val="baseline"/>
          <w:rtl w:val="0"/>
        </w:rPr>
        <w:t xml:space="preserve">(3) That this is made evident by the necessity of correctly applying the Jubilees, 6,000 years, Times o</w:t>
      </w:r>
      <w:r w:rsidDel="00000000" w:rsidR="00000000" w:rsidRPr="00000000">
        <w:rPr>
          <w:sz w:val="28"/>
          <w:szCs w:val="28"/>
          <w:rtl w:val="0"/>
        </w:rPr>
        <w:t xml:space="preserve">f</w:t>
      </w:r>
      <w:r w:rsidDel="00000000" w:rsidR="00000000" w:rsidRPr="00000000">
        <w:rPr>
          <w:rFonts w:ascii="Times New Roman" w:cs="Times New Roman" w:eastAsia="Times New Roman" w:hAnsi="Times New Roman"/>
          <w:b w:val="0"/>
          <w:sz w:val="28"/>
          <w:szCs w:val="28"/>
          <w:vertAlign w:val="baseline"/>
          <w:rtl w:val="0"/>
        </w:rPr>
        <w:t xml:space="preserve"> the Gentiles, as well as the parallels.  And that each proves the others.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36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examining the details of the chronology involved in each of the items mentioned in item (3) above, I notice these relationships: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360"/>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w:t>
        <w:tab/>
        <w:t xml:space="preserve">The Gentile times, 2520 years (Lev. 26:18, 21, 24, 28; Ezek. 21:25-27; Dan. 4:32; Luke 21:24) are generally accepted as a constant from 606 B.C. to 1914 A.D.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360"/>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w:t>
        <w:tab/>
        <w:t xml:space="preserve">It is a very direct computation to figure 2315 years from creation to Jacob</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death, or 2313 from the fall allowing for the 2 years in the garden.  See Brother Russell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logical suggestion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C125-128.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360"/>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3.</w:t>
        <w:tab/>
        <w:t xml:space="preserve">The length of time from Jacob</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death to 606 B.C. is variously speculated on</w:t>
      </w:r>
      <w:r w:rsidDel="00000000" w:rsidR="00000000" w:rsidRPr="00000000">
        <w:rPr>
          <w:sz w:val="28"/>
          <w:szCs w:val="28"/>
          <w:rtl w:val="0"/>
        </w:rPr>
        <w:t xml:space="preserve">—e</w:t>
      </w:r>
      <w:r w:rsidDel="00000000" w:rsidR="00000000" w:rsidRPr="00000000">
        <w:rPr>
          <w:rFonts w:ascii="Times New Roman" w:cs="Times New Roman" w:eastAsia="Times New Roman" w:hAnsi="Times New Roman"/>
          <w:b w:val="0"/>
          <w:sz w:val="28"/>
          <w:szCs w:val="28"/>
          <w:vertAlign w:val="baseline"/>
          <w:rtl w:val="0"/>
        </w:rPr>
        <w:t xml:space="preserve">ither the time in Egypt, the date for entering of Canaan, or changes in the period of Judges or Kings.  Changing dates subsequent to Jacob may change the dates for the inception and termination of the antitypical Jubilee cycle, though it would not change when 6,000 years would end as long as it is understood Jacob died 1813 B.C.  On the other hand, moving the date of Jacob</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death would change where 6,000 years would end, but would not alter the Jubilee picture so long as we see Israel entering the land on time—1875 B.C.</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360"/>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4.</w:t>
        <w:tab/>
        <w:t xml:space="preserve">The Parallels are important to confirm the validity of the chronology, in that they cover parts of three ages and are a constant that other variables of smaller duration must conform to.</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360"/>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5.</w:t>
        <w:tab/>
        <w:t xml:space="preserve">Though we know the events and dates for the closing of Jewish age parallel, we would not be certain how long that parallel should be if Jacob</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death date is uncertain, (the beginning of Israel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national existence) and therefore the necessary length of the Gospel age parallel.</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360"/>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6.</w:t>
        <w:tab/>
        <w:t xml:space="preserve">We do know that A.D. 70 marking full end of Jewish age favor was just 36.5 years (36 rounded down) from the rejection in A.D. 33.  And that this rejection was just 3.5 years (4 rounded up) after the first presence of Jesus as Messiah, in A.D. 29.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360"/>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7.</w:t>
        <w:tab/>
        <w:t xml:space="preserve">These two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nodes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are measured from the two ends of the harvest of the Jewish age, and can be computed by independent methods in its Gospel age parallel, and must be conformed to:  The Jubilees pointing to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return at the times of restitution (Acts 3:19-21) (Bl47-l88) and the Times of the Gentiles pointing to 1914 as their end.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360"/>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8.</w:t>
        <w:tab/>
        <w:t xml:space="preserve">Whatever variables are used to determine the beginning of the </w:t>
      </w:r>
      <w:r w:rsidDel="00000000" w:rsidR="00000000" w:rsidRPr="00000000">
        <w:rPr>
          <w:sz w:val="28"/>
          <w:szCs w:val="28"/>
          <w:rtl w:val="0"/>
        </w:rPr>
        <w:t xml:space="preserve">antitypical</w:t>
      </w:r>
      <w:r w:rsidDel="00000000" w:rsidR="00000000" w:rsidRPr="00000000">
        <w:rPr>
          <w:rFonts w:ascii="Times New Roman" w:cs="Times New Roman" w:eastAsia="Times New Roman" w:hAnsi="Times New Roman"/>
          <w:b w:val="0"/>
          <w:sz w:val="28"/>
          <w:szCs w:val="28"/>
          <w:vertAlign w:val="baseline"/>
          <w:rtl w:val="0"/>
        </w:rPr>
        <w:t xml:space="preserve"> Jubilee cycle, it should culminate just 4 years (rounded) prior to the Gospel age date that parallels A.D. 33, indicating the presence of Christ, and also match the date computed for the end of 6,000 years reign of evil.</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540"/>
          <w:tab w:val="left" w:pos="720"/>
          <w:tab w:val="left" w:pos="8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Expressed by formula:</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440"/>
          <w:tab w:val="left" w:pos="2160"/>
          <w:tab w:val="left" w:pos="2880"/>
          <w:tab w:val="left" w:pos="3600"/>
          <w:tab w:val="left" w:pos="4320"/>
          <w:tab w:val="left" w:pos="5040"/>
          <w:tab w:val="left" w:pos="576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2499 </w:t>
      </w:r>
      <w:r w:rsidDel="00000000" w:rsidR="00000000" w:rsidRPr="00000000">
        <w:rPr>
          <w:sz w:val="28"/>
          <w:szCs w:val="28"/>
          <w:rtl w:val="0"/>
        </w:rPr>
      </w:r>
      <w:r w:rsidDel="00000000" w:rsidR="00000000" w:rsidRPr="00000000">
        <w:rPr>
          <w:rFonts w:ascii="Times New Roman" w:cs="Times New Roman" w:eastAsia="Times New Roman" w:hAnsi="Times New Roman"/>
          <w:b w:val="0"/>
          <w:sz w:val="28"/>
          <w:szCs w:val="28"/>
          <w:vertAlign w:val="baseline"/>
          <w:rtl w:val="0"/>
        </w:rPr>
        <w:t xml:space="preserve"> (606 plus </w:t>
      </w:r>
      <w:r w:rsidDel="00000000" w:rsidR="00000000" w:rsidRPr="00000000">
        <w:rPr>
          <w:sz w:val="28"/>
          <w:szCs w:val="28"/>
          <w:rtl w:val="0"/>
        </w:rPr>
        <w:t xml:space="preserve">V</w:t>
      </w:r>
      <w:r w:rsidDel="00000000" w:rsidR="00000000" w:rsidRPr="00000000">
        <w:rPr>
          <w:rFonts w:ascii="Times New Roman" w:cs="Times New Roman" w:eastAsia="Times New Roman" w:hAnsi="Times New Roman"/>
          <w:b w:val="0"/>
          <w:sz w:val="28"/>
          <w:szCs w:val="28"/>
          <w:vertAlign w:val="subscript"/>
          <w:rtl w:val="0"/>
        </w:rPr>
        <w:t xml:space="preserve">1</w:t>
      </w:r>
      <w:r w:rsidDel="00000000" w:rsidR="00000000" w:rsidRPr="00000000">
        <w:rPr>
          <w:rFonts w:ascii="Times New Roman" w:cs="Times New Roman" w:eastAsia="Times New Roman" w:hAnsi="Times New Roman"/>
          <w:b w:val="0"/>
          <w:sz w:val="28"/>
          <w:szCs w:val="28"/>
          <w:vertAlign w:val="baseline"/>
          <w:rtl w:val="0"/>
        </w:rPr>
        <w:t xml:space="preserve">)    start of 1,000 year Jubilee and Jesus present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ab/>
        <w:t xml:space="preserve">(A)</w:t>
        <w:tab/>
        <w:tab/>
        <w:tab/>
        <w:tab/>
        <w:t xml:space="preserve">(B)</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440"/>
          <w:tab w:val="left" w:pos="2160"/>
          <w:tab w:val="left" w:pos="2880"/>
          <w:tab w:val="left" w:pos="3600"/>
          <w:tab w:val="left" w:pos="4320"/>
          <w:tab w:val="left" w:pos="5040"/>
          <w:tab w:val="left" w:pos="576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32  </w:t>
      </w:r>
      <w:r w:rsidDel="00000000" w:rsidR="00000000" w:rsidRPr="00000000">
        <w:rPr>
          <w:sz w:val="28"/>
          <w:szCs w:val="28"/>
          <w:rtl w:val="0"/>
        </w:rPr>
      </w:r>
      <w:r w:rsidDel="00000000" w:rsidR="00000000" w:rsidRPr="00000000">
        <w:rPr>
          <w:rFonts w:ascii="Times New Roman" w:cs="Times New Roman" w:eastAsia="Times New Roman" w:hAnsi="Times New Roman"/>
          <w:b w:val="0"/>
          <w:sz w:val="28"/>
          <w:szCs w:val="28"/>
          <w:vertAlign w:val="baseline"/>
          <w:rtl w:val="0"/>
        </w:rPr>
        <w:t xml:space="preserve">  (606 plus V</w:t>
      </w:r>
      <w:r w:rsidDel="00000000" w:rsidR="00000000" w:rsidRPr="00000000">
        <w:rPr>
          <w:rFonts w:ascii="Times New Roman" w:cs="Times New Roman" w:eastAsia="Times New Roman" w:hAnsi="Times New Roman"/>
          <w:b w:val="0"/>
          <w:sz w:val="28"/>
          <w:szCs w:val="28"/>
          <w:vertAlign w:val="subscript"/>
          <w:rtl w:val="0"/>
        </w:rPr>
        <w:t xml:space="preserve">2</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r>
      <w:r w:rsidDel="00000000" w:rsidR="00000000" w:rsidRPr="00000000">
        <w:rPr>
          <w:rFonts w:ascii="Times New Roman" w:cs="Times New Roman" w:eastAsia="Times New Roman" w:hAnsi="Times New Roman"/>
          <w:b w:val="0"/>
          <w:sz w:val="28"/>
          <w:szCs w:val="28"/>
          <w:vertAlign w:val="baseline"/>
          <w:rtl w:val="0"/>
        </w:rPr>
        <w:t xml:space="preserve">  Jewish age parallel length ending A.D. 33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440"/>
          <w:tab w:val="left" w:pos="2160"/>
          <w:tab w:val="left" w:pos="2880"/>
          <w:tab w:val="left" w:pos="3600"/>
          <w:tab w:val="left" w:pos="4320"/>
          <w:tab w:val="left" w:pos="5040"/>
          <w:tab w:val="left" w:pos="576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(D)</w:t>
        <w:tab/>
        <w:tab/>
        <w:tab/>
        <w:tab/>
        <w:t xml:space="preserve">(C)</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s>
        <w:spacing w:after="0" w:before="0" w:line="240" w:lineRule="auto"/>
        <w:ind w:left="0" w:firstLine="0"/>
        <w:contextualSpacing w:val="0"/>
        <w:rPr>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33 </w:t>
      </w:r>
      <w:r w:rsidDel="00000000" w:rsidR="00000000" w:rsidRPr="00000000">
        <w:rPr>
          <w:sz w:val="28"/>
          <w:szCs w:val="28"/>
          <w:rtl w:val="0"/>
        </w:rPr>
      </w:r>
      <w:r w:rsidDel="00000000" w:rsidR="00000000" w:rsidRPr="00000000">
        <w:rPr>
          <w:rFonts w:ascii="Times New Roman" w:cs="Times New Roman" w:eastAsia="Times New Roman" w:hAnsi="Times New Roman"/>
          <w:b w:val="0"/>
          <w:sz w:val="28"/>
          <w:szCs w:val="28"/>
          <w:vertAlign w:val="baseline"/>
          <w:rtl w:val="0"/>
        </w:rPr>
        <w:t xml:space="preserve">  (32 plus (606 plus V</w:t>
      </w:r>
      <w:r w:rsidDel="00000000" w:rsidR="00000000" w:rsidRPr="00000000">
        <w:rPr>
          <w:rFonts w:ascii="Times New Roman" w:cs="Times New Roman" w:eastAsia="Times New Roman" w:hAnsi="Times New Roman"/>
          <w:b w:val="0"/>
          <w:sz w:val="28"/>
          <w:szCs w:val="28"/>
          <w:vertAlign w:val="subscript"/>
          <w:rtl w:val="0"/>
        </w:rPr>
        <w:t xml:space="preserve">2</w:t>
      </w:r>
      <w:r w:rsidDel="00000000" w:rsidR="00000000" w:rsidRPr="00000000">
        <w:rPr>
          <w:rFonts w:ascii="Times New Roman" w:cs="Times New Roman" w:eastAsia="Times New Roman" w:hAnsi="Times New Roman"/>
          <w:b w:val="0"/>
          <w:sz w:val="28"/>
          <w:szCs w:val="28"/>
          <w:vertAlign w:val="baseline"/>
          <w:rtl w:val="0"/>
        </w:rPr>
        <w:t xml:space="preserve"> ))  </w:t>
      </w:r>
      <w:r w:rsidDel="00000000" w:rsidR="00000000" w:rsidRPr="00000000">
        <w:rPr>
          <w:sz w:val="28"/>
          <w:szCs w:val="28"/>
          <w:rtl w:val="0"/>
        </w:rPr>
      </w:r>
      <w:r w:rsidDel="00000000" w:rsidR="00000000" w:rsidRPr="00000000">
        <w:rPr>
          <w:rFonts w:ascii="Times New Roman" w:cs="Times New Roman" w:eastAsia="Times New Roman" w:hAnsi="Times New Roman"/>
          <w:b w:val="0"/>
          <w:sz w:val="28"/>
          <w:szCs w:val="28"/>
          <w:vertAlign w:val="baseline"/>
          <w:rtl w:val="0"/>
        </w:rPr>
        <w:t xml:space="preserve">  Gospel Age parallel end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Nominal church rejected)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620"/>
          <w:tab w:val="left" w:pos="2880"/>
          <w:tab w:val="left" w:pos="3600"/>
          <w:tab w:val="left" w:pos="4320"/>
          <w:tab w:val="left" w:pos="5040"/>
          <w:tab w:val="left" w:pos="576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ab/>
        <w:t xml:space="preserve">(C)</w:t>
        <w:tab/>
        <w:tab/>
        <w:tab/>
        <w:tab/>
        <w:tab/>
        <w:t xml:space="preserve">(E)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s>
        <w:contextualSpacing w:val="0"/>
        <w:rPr>
          <w:sz w:val="28"/>
          <w:szCs w:val="28"/>
        </w:rPr>
      </w:pPr>
      <w:r w:rsidDel="00000000" w:rsidR="00000000" w:rsidRPr="00000000">
        <w:rPr>
          <w:sz w:val="28"/>
          <w:szCs w:val="28"/>
          <w:rtl w:val="0"/>
        </w:rPr>
        <w:t xml:space="preserve">   </w:t>
        <w:tab/>
        <w:t xml:space="preserve"> Jacob to Jesus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620"/>
          <w:tab w:val="left" w:pos="2880"/>
          <w:tab w:val="left" w:pos="3600"/>
          <w:tab w:val="left" w:pos="4320"/>
          <w:tab w:val="left" w:pos="5040"/>
          <w:tab w:val="left" w:pos="5760"/>
        </w:tabs>
        <w:contextualSpacing w:val="0"/>
        <w:rPr>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620"/>
          <w:tab w:val="left" w:pos="720"/>
          <w:tab w:val="left" w:pos="1440"/>
          <w:tab w:val="left" w:pos="2160"/>
          <w:tab w:val="left" w:pos="2880"/>
          <w:tab w:val="left" w:pos="3600"/>
          <w:tab w:val="left" w:pos="4320"/>
          <w:tab w:val="left" w:pos="5040"/>
          <w:tab w:val="left" w:pos="57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(6,000-2313)  </w:t>
      </w:r>
      <w:r w:rsidDel="00000000" w:rsidR="00000000" w:rsidRPr="00000000">
        <w:rPr>
          <w:sz w:val="28"/>
          <w:szCs w:val="28"/>
          <w:rtl w:val="0"/>
        </w:rPr>
      </w:r>
      <w:r w:rsidDel="00000000" w:rsidR="00000000" w:rsidRPr="00000000">
        <w:rPr>
          <w:rFonts w:ascii="Times New Roman" w:cs="Times New Roman" w:eastAsia="Times New Roman" w:hAnsi="Times New Roman"/>
          <w:b w:val="0"/>
          <w:sz w:val="28"/>
          <w:szCs w:val="28"/>
          <w:vertAlign w:val="baseline"/>
          <w:rtl w:val="0"/>
        </w:rPr>
        <w:t xml:space="preserve">  (606 plus V</w:t>
      </w:r>
      <w:r w:rsidDel="00000000" w:rsidR="00000000" w:rsidRPr="00000000">
        <w:rPr>
          <w:rFonts w:ascii="Times New Roman" w:cs="Times New Roman" w:eastAsia="Times New Roman" w:hAnsi="Times New Roman"/>
          <w:b w:val="0"/>
          <w:sz w:val="28"/>
          <w:szCs w:val="28"/>
          <w:vertAlign w:val="subscript"/>
          <w:rtl w:val="0"/>
        </w:rPr>
        <w:t xml:space="preserve">2</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r>
      <w:r w:rsidDel="00000000" w:rsidR="00000000" w:rsidRPr="00000000">
        <w:rPr>
          <w:rFonts w:ascii="Times New Roman" w:cs="Times New Roman" w:eastAsia="Times New Roman" w:hAnsi="Times New Roman"/>
          <w:b w:val="0"/>
          <w:sz w:val="28"/>
          <w:szCs w:val="28"/>
          <w:vertAlign w:val="baseline"/>
          <w:rtl w:val="0"/>
        </w:rPr>
        <w:t xml:space="preserve">  Year A.D. equals A.M. 6000  </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620"/>
          <w:tab w:val="left" w:pos="720"/>
          <w:tab w:val="left" w:pos="1440"/>
          <w:tab w:val="left" w:pos="2160"/>
          <w:tab w:val="left" w:pos="2880"/>
          <w:tab w:val="left" w:pos="3600"/>
          <w:tab w:val="left" w:pos="4320"/>
          <w:tab w:val="left" w:pos="5040"/>
          <w:tab w:val="left" w:pos="5760"/>
          <w:tab w:val="left" w:pos="78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To Jacob</w:t>
        <w:tab/>
        <w:tab/>
        <w:t xml:space="preserve">(D)</w:t>
        <w:tab/>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620"/>
          <w:tab w:val="left" w:pos="720"/>
          <w:tab w:val="left" w:pos="1440"/>
          <w:tab w:val="left" w:pos="2160"/>
          <w:tab w:val="left" w:pos="2880"/>
          <w:tab w:val="left" w:pos="3600"/>
          <w:tab w:val="left" w:pos="4320"/>
          <w:tab w:val="left" w:pos="5040"/>
          <w:tab w:val="left" w:pos="5760"/>
          <w:tab w:val="left" w:pos="78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With the restrictions for a correct solution expressed as: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600"/>
          <w:tab w:val="left" w:pos="720"/>
          <w:tab w:val="left" w:pos="1440"/>
          <w:tab w:val="left" w:pos="1620"/>
          <w:tab w:val="left" w:pos="2160"/>
          <w:tab w:val="left" w:pos="2880"/>
          <w:tab w:val="left" w:pos="3600"/>
          <w:tab w:val="left" w:pos="4320"/>
          <w:tab w:val="left" w:pos="5040"/>
          <w:tab w:val="left" w:pos="57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620"/>
          <w:tab w:val="left" w:pos="720"/>
          <w:tab w:val="left" w:pos="1440"/>
          <w:tab w:val="left" w:pos="2160"/>
          <w:tab w:val="left" w:pos="2880"/>
          <w:tab w:val="left" w:pos="3600"/>
          <w:tab w:val="left" w:pos="4320"/>
          <w:tab w:val="left" w:pos="5040"/>
          <w:tab w:val="left" w:pos="57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1914 </w:t>
      </w:r>
      <w:r w:rsidDel="00000000" w:rsidR="00000000" w:rsidRPr="00000000">
        <w:rPr>
          <w:sz w:val="28"/>
          <w:szCs w:val="28"/>
          <w:rtl w:val="0"/>
        </w:rPr>
      </w:r>
      <w:r w:rsidDel="00000000" w:rsidR="00000000" w:rsidRPr="00000000">
        <w:rPr>
          <w:rFonts w:ascii="Times New Roman" w:cs="Times New Roman" w:eastAsia="Times New Roman" w:hAnsi="Times New Roman"/>
          <w:b w:val="0"/>
          <w:sz w:val="28"/>
          <w:szCs w:val="28"/>
          <w:vertAlign w:val="baseline"/>
          <w:rtl w:val="0"/>
        </w:rPr>
        <w:t xml:space="preserve"> E </w:t>
      </w:r>
      <w:r w:rsidDel="00000000" w:rsidR="00000000" w:rsidRPr="00000000">
        <w:rPr>
          <w:sz w:val="28"/>
          <w:szCs w:val="28"/>
          <w:rtl w:val="0"/>
        </w:rPr>
      </w:r>
      <w:r w:rsidDel="00000000" w:rsidR="00000000" w:rsidRPr="00000000">
        <w:rPr>
          <w:rFonts w:ascii="Times New Roman" w:cs="Times New Roman" w:eastAsia="Times New Roman" w:hAnsi="Times New Roman"/>
          <w:b w:val="0"/>
          <w:sz w:val="28"/>
          <w:szCs w:val="28"/>
          <w:vertAlign w:val="baseline"/>
          <w:rtl w:val="0"/>
        </w:rPr>
        <w:t xml:space="preserve"> 36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620"/>
          <w:tab w:val="left" w:pos="720"/>
          <w:tab w:val="left" w:pos="1440"/>
          <w:tab w:val="left" w:pos="2160"/>
          <w:tab w:val="left" w:pos="2880"/>
          <w:tab w:val="left" w:pos="3600"/>
          <w:tab w:val="left" w:pos="4320"/>
          <w:tab w:val="left" w:pos="5040"/>
          <w:tab w:val="left" w:pos="57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E </w:t>
      </w:r>
      <w:r w:rsidDel="00000000" w:rsidR="00000000" w:rsidRPr="00000000">
        <w:rPr>
          <w:sz w:val="28"/>
          <w:szCs w:val="28"/>
          <w:rtl w:val="0"/>
        </w:rPr>
      </w:r>
      <w:r w:rsidDel="00000000" w:rsidR="00000000" w:rsidRPr="00000000">
        <w:rPr>
          <w:rFonts w:ascii="Times New Roman" w:cs="Times New Roman" w:eastAsia="Times New Roman" w:hAnsi="Times New Roman"/>
          <w:b w:val="0"/>
          <w:sz w:val="28"/>
          <w:szCs w:val="28"/>
          <w:vertAlign w:val="baseline"/>
          <w:rtl w:val="0"/>
        </w:rPr>
        <w:t xml:space="preserve"> B </w:t>
      </w:r>
      <w:r w:rsidDel="00000000" w:rsidR="00000000" w:rsidRPr="00000000">
        <w:rPr>
          <w:sz w:val="28"/>
          <w:szCs w:val="28"/>
          <w:rtl w:val="0"/>
        </w:rPr>
      </w:r>
      <w:r w:rsidDel="00000000" w:rsidR="00000000" w:rsidRPr="00000000">
        <w:rPr>
          <w:rFonts w:ascii="Times New Roman" w:cs="Times New Roman" w:eastAsia="Times New Roman" w:hAnsi="Times New Roman"/>
          <w:b w:val="0"/>
          <w:sz w:val="28"/>
          <w:szCs w:val="28"/>
          <w:vertAlign w:val="baseline"/>
          <w:rtl w:val="0"/>
        </w:rPr>
        <w:t xml:space="preserve"> 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620"/>
          <w:tab w:val="left" w:pos="720"/>
          <w:tab w:val="left" w:pos="1440"/>
          <w:tab w:val="left" w:pos="2160"/>
          <w:tab w:val="left" w:pos="2880"/>
          <w:tab w:val="left" w:pos="3600"/>
          <w:tab w:val="left" w:pos="4320"/>
          <w:tab w:val="left" w:pos="5040"/>
          <w:tab w:val="left" w:pos="57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F </w:t>
      </w:r>
      <w:r w:rsidDel="00000000" w:rsidR="00000000" w:rsidRPr="00000000">
        <w:rPr>
          <w:sz w:val="28"/>
          <w:szCs w:val="28"/>
          <w:rtl w:val="0"/>
        </w:rPr>
      </w:r>
      <w:r w:rsidDel="00000000" w:rsidR="00000000" w:rsidRPr="00000000">
        <w:rPr>
          <w:rFonts w:ascii="Times New Roman" w:cs="Times New Roman" w:eastAsia="Times New Roman" w:hAnsi="Times New Roman"/>
          <w:b w:val="0"/>
          <w:sz w:val="28"/>
          <w:szCs w:val="28"/>
          <w:vertAlign w:val="baseline"/>
          <w:rtl w:val="0"/>
        </w:rPr>
        <w:t xml:space="preserve"> B</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620"/>
          <w:tab w:val="left" w:pos="720"/>
          <w:tab w:val="left" w:pos="1440"/>
          <w:tab w:val="left" w:pos="2160"/>
          <w:tab w:val="left" w:pos="2880"/>
          <w:tab w:val="left" w:pos="3600"/>
          <w:tab w:val="left" w:pos="4320"/>
          <w:tab w:val="left" w:pos="5040"/>
          <w:tab w:val="left" w:pos="57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620"/>
          <w:tab w:val="left" w:pos="720"/>
          <w:tab w:val="left" w:pos="1440"/>
          <w:tab w:val="left" w:pos="2160"/>
          <w:tab w:val="left" w:pos="2880"/>
          <w:tab w:val="left" w:pos="3600"/>
          <w:tab w:val="left" w:pos="4320"/>
          <w:tab w:val="left" w:pos="5040"/>
          <w:tab w:val="left" w:pos="57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above formulas were combined in a computer program and executed on an IBM 360-20 with variable (</w:t>
      </w:r>
      <w:r w:rsidDel="00000000" w:rsidR="00000000" w:rsidRPr="00000000">
        <w:rPr>
          <w:sz w:val="28"/>
          <w:szCs w:val="28"/>
          <w:rtl w:val="0"/>
        </w:rPr>
        <w:t xml:space="preserve">V</w:t>
      </w:r>
      <w:r w:rsidDel="00000000" w:rsidR="00000000" w:rsidRPr="00000000">
        <w:rPr>
          <w:sz w:val="28"/>
          <w:szCs w:val="28"/>
          <w:vertAlign w:val="subscript"/>
          <w:rtl w:val="0"/>
        </w:rPr>
        <w:t xml:space="preserve">1</w:t>
      </w:r>
      <w:r w:rsidDel="00000000" w:rsidR="00000000" w:rsidRPr="00000000">
        <w:rPr>
          <w:rFonts w:ascii="Times New Roman" w:cs="Times New Roman" w:eastAsia="Times New Roman" w:hAnsi="Times New Roman"/>
          <w:b w:val="0"/>
          <w:sz w:val="28"/>
          <w:szCs w:val="28"/>
          <w:vertAlign w:val="baseline"/>
          <w:rtl w:val="0"/>
        </w:rPr>
        <w:t xml:space="preserve">) successively incremented from 1 to 25 and added to 606 B.C. to determine a date for the Jubilee cycle of 2499 years to begin.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620"/>
          <w:tab w:val="left" w:pos="720"/>
          <w:tab w:val="left" w:pos="1440"/>
          <w:tab w:val="left" w:pos="2160"/>
          <w:tab w:val="left" w:pos="2880"/>
          <w:tab w:val="left" w:pos="3600"/>
          <w:tab w:val="left" w:pos="4320"/>
          <w:tab w:val="left" w:pos="5040"/>
          <w:tab w:val="left" w:pos="57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620"/>
          <w:tab w:val="left" w:pos="720"/>
          <w:tab w:val="left" w:pos="1440"/>
          <w:tab w:val="left" w:pos="2160"/>
          <w:tab w:val="left" w:pos="2880"/>
          <w:tab w:val="left" w:pos="3600"/>
          <w:tab w:val="left" w:pos="4320"/>
          <w:tab w:val="left" w:pos="5040"/>
          <w:tab w:val="left" w:pos="57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Variable (</w:t>
      </w:r>
      <w:r w:rsidDel="00000000" w:rsidR="00000000" w:rsidRPr="00000000">
        <w:rPr>
          <w:sz w:val="28"/>
          <w:szCs w:val="28"/>
          <w:rtl w:val="0"/>
        </w:rPr>
        <w:t xml:space="preserve">V</w:t>
      </w:r>
      <w:r w:rsidDel="00000000" w:rsidR="00000000" w:rsidRPr="00000000">
        <w:rPr>
          <w:sz w:val="28"/>
          <w:szCs w:val="28"/>
          <w:vertAlign w:val="subscript"/>
          <w:rtl w:val="0"/>
        </w:rPr>
        <w:t xml:space="preserve">2</w:t>
      </w:r>
      <w:r w:rsidDel="00000000" w:rsidR="00000000" w:rsidRPr="00000000">
        <w:rPr>
          <w:rFonts w:ascii="Times New Roman" w:cs="Times New Roman" w:eastAsia="Times New Roman" w:hAnsi="Times New Roman"/>
          <w:b w:val="0"/>
          <w:sz w:val="28"/>
          <w:szCs w:val="28"/>
          <w:vertAlign w:val="baseline"/>
          <w:rtl w:val="0"/>
        </w:rPr>
        <w:t xml:space="preserve">) operates between 1100 and 1225 years prior to 606 B.C. as samples for Jacob</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death.</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620"/>
          <w:tab w:val="left" w:pos="720"/>
          <w:tab w:val="left" w:pos="1440"/>
          <w:tab w:val="left" w:pos="2160"/>
          <w:tab w:val="left" w:pos="2880"/>
          <w:tab w:val="left" w:pos="3600"/>
          <w:tab w:val="left" w:pos="4320"/>
          <w:tab w:val="left" w:pos="5040"/>
          <w:tab w:val="left" w:pos="57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620"/>
          <w:tab w:val="left" w:pos="720"/>
          <w:tab w:val="left" w:pos="1440"/>
          <w:tab w:val="left" w:pos="2160"/>
          <w:tab w:val="left" w:pos="2880"/>
          <w:tab w:val="left" w:pos="3600"/>
          <w:tab w:val="left" w:pos="4320"/>
          <w:tab w:val="left" w:pos="5040"/>
          <w:tab w:val="left" w:pos="57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was found that with 3,150 unique combinations of the variables for dates of Jacob</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death and for Israel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last typical Jubilee kept, that there are several nodes that satisfy for one or the other restrictions; but </w:t>
      </w:r>
      <w:r w:rsidDel="00000000" w:rsidR="00000000" w:rsidRPr="00000000">
        <w:rPr>
          <w:rFonts w:ascii="Times New Roman" w:cs="Times New Roman" w:eastAsia="Times New Roman" w:hAnsi="Times New Roman"/>
          <w:b w:val="1"/>
          <w:sz w:val="28"/>
          <w:szCs w:val="28"/>
          <w:u w:val="single"/>
          <w:vertAlign w:val="baseline"/>
          <w:rtl w:val="0"/>
        </w:rPr>
        <w:t xml:space="preserve">only</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Fonts w:ascii="Times New Roman" w:cs="Times New Roman" w:eastAsia="Times New Roman" w:hAnsi="Times New Roman"/>
          <w:b w:val="1"/>
          <w:sz w:val="28"/>
          <w:szCs w:val="28"/>
          <w:u w:val="single"/>
          <w:vertAlign w:val="baseline"/>
          <w:rtl w:val="0"/>
        </w:rPr>
        <w:t xml:space="preserve">one</w:t>
      </w:r>
      <w:r w:rsidDel="00000000" w:rsidR="00000000" w:rsidRPr="00000000">
        <w:rPr>
          <w:rFonts w:ascii="Times New Roman" w:cs="Times New Roman" w:eastAsia="Times New Roman" w:hAnsi="Times New Roman"/>
          <w:b w:val="0"/>
          <w:sz w:val="28"/>
          <w:szCs w:val="28"/>
          <w:vertAlign w:val="baseline"/>
          <w:rtl w:val="0"/>
        </w:rPr>
        <w:t xml:space="preserve"> that solves for both.  This one also solves for the 6,000 year restriction.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620"/>
          <w:tab w:val="left" w:pos="720"/>
          <w:tab w:val="left" w:pos="1440"/>
          <w:tab w:val="left" w:pos="2160"/>
          <w:tab w:val="left" w:pos="2880"/>
          <w:tab w:val="left" w:pos="3600"/>
          <w:tab w:val="left" w:pos="4320"/>
          <w:tab w:val="left" w:pos="5040"/>
          <w:tab w:val="left" w:pos="57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620"/>
          <w:tab w:val="left" w:pos="720"/>
          <w:tab w:val="left" w:pos="1440"/>
          <w:tab w:val="left" w:pos="2160"/>
          <w:tab w:val="left" w:pos="2880"/>
          <w:tab w:val="left" w:pos="3600"/>
          <w:tab w:val="left" w:pos="4320"/>
          <w:tab w:val="left" w:pos="5040"/>
          <w:tab w:val="left" w:pos="57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This solution has an 1845 year parallel, beginning in 1813 with the death of Jacob.  The date paralleling 33 A.D. is 1878, just 36 years prior to 1914.  The date computed for the Jubilee is 1874, just 4 years prior to 1878, and is the same computed for 6,000 years from the fall.</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620"/>
          <w:tab w:val="left" w:pos="720"/>
          <w:tab w:val="left" w:pos="1440"/>
          <w:tab w:val="left" w:pos="2160"/>
          <w:tab w:val="left" w:pos="2880"/>
          <w:tab w:val="left" w:pos="3600"/>
          <w:tab w:val="left" w:pos="4320"/>
          <w:tab w:val="left" w:pos="5040"/>
          <w:tab w:val="left" w:pos="57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620"/>
          <w:tab w:val="left" w:pos="720"/>
          <w:tab w:val="left" w:pos="1440"/>
          <w:tab w:val="left" w:pos="2160"/>
          <w:tab w:val="left" w:pos="2880"/>
          <w:tab w:val="left" w:pos="3600"/>
          <w:tab w:val="left" w:pos="4320"/>
          <w:tab w:val="left" w:pos="5040"/>
          <w:tab w:val="left" w:pos="57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 few pages of the computer print out are included.  The first two columns are the constants assumed.  The next two columns are jubilee dates tried in the formula (items A &amp; B) against the parallel factors (Items C. D &amp; E) found in columns 5, 6 &amp; 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620"/>
          <w:tab w:val="left" w:pos="720"/>
          <w:tab w:val="left" w:pos="1440"/>
          <w:tab w:val="left" w:pos="2160"/>
          <w:tab w:val="left" w:pos="2880"/>
          <w:tab w:val="left" w:pos="3600"/>
          <w:tab w:val="left" w:pos="4320"/>
          <w:tab w:val="left" w:pos="5040"/>
          <w:tab w:val="left" w:pos="57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620"/>
          <w:tab w:val="left" w:pos="720"/>
          <w:tab w:val="left" w:pos="1440"/>
          <w:tab w:val="left" w:pos="2160"/>
          <w:tab w:val="left" w:pos="2880"/>
          <w:tab w:val="left" w:pos="3600"/>
          <w:tab w:val="left" w:pos="4320"/>
          <w:tab w:val="left" w:pos="5040"/>
          <w:tab w:val="left" w:pos="57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“nodes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or intersects with 1914 A.D. are listed in columns 8 &amp; 9 with an (*) marking a solution with any of the restrictions.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620"/>
          <w:tab w:val="left" w:pos="720"/>
          <w:tab w:val="left" w:pos="1440"/>
          <w:tab w:val="left" w:pos="2160"/>
          <w:tab w:val="left" w:pos="2880"/>
          <w:tab w:val="left" w:pos="3600"/>
          <w:tab w:val="left" w:pos="4320"/>
          <w:tab w:val="left" w:pos="5040"/>
          <w:tab w:val="left" w:pos="57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620"/>
          <w:tab w:val="left" w:pos="720"/>
          <w:tab w:val="left" w:pos="1440"/>
          <w:tab w:val="left" w:pos="2160"/>
          <w:tab w:val="left" w:pos="2880"/>
          <w:tab w:val="left" w:pos="3600"/>
          <w:tab w:val="left" w:pos="4320"/>
          <w:tab w:val="left" w:pos="5040"/>
          <w:tab w:val="left" w:pos="57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Perhaps such a mathematical demonstration was never presumed by Brother Russell, and faith can find abundant evidence in his harmonious presentation; but it is reassuring to me to know the chronology and prophecies stand sure under careful scrutiny, in a time when it seems so easy to lay them aside or discount them without careful examination.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620"/>
          <w:tab w:val="left" w:pos="720"/>
          <w:tab w:val="left" w:pos="1440"/>
          <w:tab w:val="left" w:pos="2160"/>
          <w:tab w:val="left" w:pos="2880"/>
          <w:tab w:val="left" w:pos="3600"/>
          <w:tab w:val="left" w:pos="4320"/>
          <w:tab w:val="left" w:pos="5040"/>
          <w:tab w:val="left" w:pos="5760"/>
        </w:tabs>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620"/>
          <w:tab w:val="left" w:pos="720"/>
          <w:tab w:val="left" w:pos="1440"/>
          <w:tab w:val="left" w:pos="2160"/>
          <w:tab w:val="left" w:pos="2880"/>
          <w:tab w:val="left" w:pos="3600"/>
          <w:tab w:val="left" w:pos="4320"/>
          <w:tab w:val="left" w:pos="5040"/>
          <w:tab w:val="left" w:pos="5760"/>
        </w:tabs>
        <w:spacing w:line="240" w:lineRule="auto"/>
        <w:contextualSpacing w:val="0"/>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620"/>
          <w:tab w:val="left" w:pos="720"/>
          <w:tab w:val="left" w:pos="1440"/>
          <w:tab w:val="left" w:pos="2160"/>
          <w:tab w:val="left" w:pos="2880"/>
          <w:tab w:val="left" w:pos="3600"/>
          <w:tab w:val="left" w:pos="4320"/>
          <w:tab w:val="left" w:pos="5040"/>
          <w:tab w:val="left" w:pos="5760"/>
        </w:tabs>
        <w:spacing w:line="240" w:lineRule="auto"/>
        <w:contextualSpacing w:val="0"/>
        <w:rPr>
          <w:rFonts w:ascii="Calibri" w:cs="Calibri" w:eastAsia="Calibri" w:hAnsi="Calibri"/>
        </w:rPr>
      </w:pPr>
      <w:r w:rsidDel="00000000" w:rsidR="00000000" w:rsidRPr="00000000">
        <w:rPr>
          <w:rFonts w:ascii="Calibri" w:cs="Calibri" w:eastAsia="Calibri" w:hAnsi="Calibri"/>
          <w:rtl w:val="0"/>
        </w:rPr>
        <w:tab/>
      </w:r>
      <w:r w:rsidDel="00000000" w:rsidR="00000000" w:rsidRPr="00000000">
        <w:drawing>
          <wp:inline distB="114300" distT="114300" distL="114300" distR="114300">
            <wp:extent cx="5762625" cy="7353300"/>
            <wp:effectExtent b="0" l="0" r="0" t="0"/>
            <wp:docPr id="1" name="image2.png"/>
            <a:graphic>
              <a:graphicData uri="http://schemas.openxmlformats.org/drawingml/2006/picture">
                <pic:pic>
                  <pic:nvPicPr>
                    <pic:cNvPr id="0" name="image2.png"/>
                    <pic:cNvPicPr preferRelativeResize="0"/>
                  </pic:nvPicPr>
                  <pic:blipFill>
                    <a:blip r:embed="rId5"/>
                    <a:srcRect b="0" l="0" r="0" t="0"/>
                    <a:stretch>
                      <a:fillRect/>
                    </a:stretch>
                  </pic:blipFill>
                  <pic:spPr>
                    <a:xfrm>
                      <a:off x="0" y="0"/>
                      <a:ext cx="5762625" cy="7353300"/>
                    </a:xfrm>
                    <a:prstGeom prst="rect"/>
                    <a:ln/>
                  </pic:spPr>
                </pic:pic>
              </a:graphicData>
            </a:graphic>
          </wp:inline>
        </w:drawing>
      </w:r>
      <w:r w:rsidDel="00000000" w:rsidR="00000000" w:rsidRPr="00000000">
        <w:rPr>
          <w:rtl w:val="0"/>
        </w:rPr>
      </w:r>
    </w:p>
    <w:sectPr>
      <w:headerReference r:id="rId6"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2.png"/><Relationship Id="rId6" Type="http://schemas.openxmlformats.org/officeDocument/2006/relationships/header" Target="header1.xml"/></Relationships>
</file>